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196f0f686a82addb7abbb1daa38c9b4edadca1"/>
    <w:p>
      <w:pPr>
        <w:pStyle w:val="Heading3"/>
      </w:pPr>
      <w:r>
        <w:t xml:space="preserve">Как узнать, какие льготы в г. Москве предоставляются при уплате имущественных налогов физических лиц</w:t>
      </w:r>
    </w:p>
    <w:p>
      <w:pPr>
        <w:pStyle w:val="FirstParagraph"/>
      </w:pPr>
      <w:r>
        <w:t xml:space="preserve">25.01.2022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4d4/kak_uznat_kakie_lgoty_v_g._moskve_predostavlyayutsy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http://nizhegorodsky.mos.ru/information-on-taxes-and-taxation/detail/10579885.html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5798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5798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2025-03-06T00:47:25Z</dcterms:created>
  <dcterms:modified xsi:type="dcterms:W3CDTF">2025-03-06T00:47:25Z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