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вебинары-в-марте-2022-года"/>
    <w:p>
      <w:pPr>
        <w:pStyle w:val="Heading3"/>
      </w:pPr>
      <w:r>
        <w:t xml:space="preserve">Вебинары в марте 2022 года</w:t>
      </w:r>
    </w:p>
    <w:p>
      <w:pPr>
        <w:pStyle w:val="FirstParagraph"/>
      </w:pPr>
      <w:r>
        <w:t xml:space="preserve">28.03.2022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38a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104/14e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132/5a1/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http://nizhegorodsky.mos.ru/information-on-taxes-and-taxation/detail/10708223.html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nizhegorodsky.mos.ru" TargetMode="External" /><Relationship Type="http://schemas.openxmlformats.org/officeDocument/2006/relationships/hyperlink" Id="rId29" Target="http://nizhegorodsky.mos.ru/information-on-taxes-and-taxation/detail/107082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nizhegorodsky.mos.ru" TargetMode="External" /><Relationship Type="http://schemas.openxmlformats.org/officeDocument/2006/relationships/hyperlink" Id="rId29" Target="http://nizhegorodsky.mos.ru/information-on-taxes-and-taxation/detail/107082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2025-03-06T00:47:55Z</dcterms:created>
  <dcterms:modified xsi:type="dcterms:W3CDTF">2025-03-06T00:47:55Z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