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конкурс-бюджет-для-граждан"/>
    <w:p>
      <w:pPr>
        <w:pStyle w:val="Heading3"/>
      </w:pPr>
      <w:r>
        <w:t xml:space="preserve">Конкурс "Бюджет для граждан"</w:t>
      </w:r>
    </w:p>
    <w:p>
      <w:pPr>
        <w:pStyle w:val="FirstParagraph"/>
      </w:pPr>
      <w:r>
        <w:t xml:space="preserve">31.03.2022</w:t>
      </w:r>
    </w:p>
    <w:p>
      <w:pPr>
        <w:pStyle w:val="BodyText"/>
      </w:pPr>
      <w:r>
        <w:drawing>
          <wp:inline>
            <wp:extent cx="5334000" cy="773656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izhegorodsky.mos.ru/www/upload/medialibrary/808/konkurs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365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http://nizhegorodsky.mos.ru/information-on-taxes-and-taxation/detail/10720206.html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07202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07202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2025-03-06T00:28:00Z</dcterms:created>
  <dcterms:modified xsi:type="dcterms:W3CDTF">2025-03-06T00:28:00Z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