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17f5c30c2a252c23b360bf35fbfbc02c802ae2"/>
    <w:p>
      <w:pPr>
        <w:pStyle w:val="Heading3"/>
      </w:pPr>
      <w:r>
        <w:t xml:space="preserve">До 28 февраля 2023 года физические лица имеют возможность сообщить о своих счетах и вкладах в заграничных банках</w:t>
      </w:r>
    </w:p>
    <w:p>
      <w:pPr>
        <w:pStyle w:val="FirstParagraph"/>
      </w:pPr>
      <w:r>
        <w:t xml:space="preserve">15.04.2022</w:t>
      </w:r>
    </w:p>
    <w:p>
      <w:pPr>
        <w:pStyle w:val="BodyText"/>
      </w:pPr>
      <w:r>
        <w:drawing>
          <wp:inline>
            <wp:extent cx="5334000" cy="77147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faf/decl_spec_pril._4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14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http://nizhegorodsky.mos.ru/information-on-taxes-and-taxation/detail/10754331.html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54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54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2025-07-24T07:53:12Z</dcterms:created>
  <dcterms:modified xsi:type="dcterms:W3CDTF">2025-07-24T07:53:12Z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