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e78f33219a4dcdde2b7b1a3b741299ee2fbab"/>
    <w:p>
      <w:pPr>
        <w:pStyle w:val="Heading3"/>
      </w:pPr>
      <w:r>
        <w:t xml:space="preserve">28.04.2022 г. состоится вебинар "Декларационная кампания 2022 года"</w:t>
      </w:r>
    </w:p>
    <w:p>
      <w:pPr>
        <w:pStyle w:val="FirstParagraph"/>
      </w:pPr>
      <w:r>
        <w:t xml:space="preserve">19.04.2022</w:t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09a/vebinar_deklaratsionnaya_kampaniya_202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http://nizhegorodsky.mos.ru/information-on-taxes-and-taxation/detail/10759994.html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599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599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2025-03-06T00:28:14Z</dcterms:created>
  <dcterms:modified xsi:type="dcterms:W3CDTF">2025-03-06T00:28:14Z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