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6930b2282d1c83295c5bf7692cb2c9358d49d7"/>
    <w:p>
      <w:pPr>
        <w:pStyle w:val="Heading3"/>
      </w:pPr>
      <w:r>
        <w:t xml:space="preserve">График проведения вебинаров с налогоплательщиками на июнь 2022г.</w:t>
      </w:r>
    </w:p>
    <w:p>
      <w:pPr>
        <w:pStyle w:val="FirstParagraph"/>
      </w:pPr>
      <w:r>
        <w:t xml:space="preserve">31.05.2022</w:t>
      </w:r>
    </w:p>
    <w:p>
      <w:pPr>
        <w:pStyle w:val="BodyText"/>
      </w:pPr>
      <w:r>
        <w:drawing>
          <wp:inline>
            <wp:extent cx="5334000" cy="77038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ff4/wdecne5j85z7s6uiu0qq4s8s7unzi4nl/grafik_iyu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http://nizhegorodsky.mos.ru/information-on-taxes-and-taxation/detail/10840508.html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8405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8405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2025-03-06T00:28:31Z</dcterms:created>
  <dcterms:modified xsi:type="dcterms:W3CDTF">2025-03-06T00:28:31Z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