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531a31a1ba217315d73b5ee6efcfd9f9355ad"/>
    <w:p>
      <w:pPr>
        <w:pStyle w:val="Heading3"/>
      </w:pPr>
      <w:r>
        <w:t xml:space="preserve">График проведения вебинаров с налогоплательщиками в 3 квартале 2022 года ИФНС России № 21 по г. Москве</w:t>
      </w:r>
    </w:p>
    <w:p>
      <w:pPr>
        <w:pStyle w:val="FirstParagraph"/>
      </w:pPr>
      <w:r>
        <w:t xml:space="preserve">18.08.2022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http://nizhegorodsky.mos.ru/information-on-taxes-and-taxation/detail/11000771.html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000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000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2025-03-06T00:49:03Z</dcterms:created>
  <dcterms:modified xsi:type="dcterms:W3CDTF">2025-03-06T00:49:03Z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