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feedc3c93a6931da2640b6d530ffe9a17a2a7f"/>
    <w:p>
      <w:pPr>
        <w:pStyle w:val="Heading3"/>
      </w:pPr>
      <w:r>
        <w:t xml:space="preserve">Федеральная налоговая служба проводит День открытых дверей «О введении института Единого налогового счета» для налогоплательщиков – физических и юридических лиц!</w:t>
      </w:r>
    </w:p>
    <w:p>
      <w:pPr>
        <w:pStyle w:val="FirstParagraph"/>
      </w:pPr>
      <w:r>
        <w:t xml:space="preserve">13.12.2022</w:t>
      </w:r>
    </w:p>
    <w:p>
      <w:pPr>
        <w:pStyle w:val="BodyText"/>
      </w:pPr>
      <w:r>
        <w:drawing>
          <wp:inline>
            <wp:extent cx="5105400" cy="74009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49f/mf2qi4lfaxxe4yk1nbra8pvo2hdo5mob/Untitle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http://nizhegorodsky.mos.ru/information-on-taxes-and-taxation/detail/11286232.html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2862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2862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2025-03-06T00:49:35Z</dcterms:created>
  <dcterms:modified xsi:type="dcterms:W3CDTF">2025-03-06T00:49:35Z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