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47b8fafd6ff96970791405f0a29bc69af973f7"/>
    <w:p>
      <w:pPr>
        <w:pStyle w:val="Heading3"/>
      </w:pPr>
      <w:r>
        <w:t xml:space="preserve">Бездекларационное администрирование налога на имущество российских организаций</w:t>
      </w:r>
    </w:p>
    <w:p>
      <w:pPr>
        <w:pStyle w:val="FirstParagraph"/>
      </w:pPr>
      <w:r>
        <w:t xml:space="preserve">02.02.2023</w:t>
      </w:r>
    </w:p>
    <w:p>
      <w:pPr>
        <w:pStyle w:val="BodyText"/>
      </w:pPr>
      <w:r>
        <w:drawing>
          <wp:inline>
            <wp:extent cx="5334000" cy="77038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67a/ha71i42i3nd4p6f4pkxu2mdo8ldo7ulm/c62997bf36404b2d8908ab002c4e21f5sNFTQj0irLIZOY6k_0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http://nizhegorodsky.mos.ru/information-on-taxes-and-taxation/detail/11382831.html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3828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3828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2025-03-06T00:50:02Z</dcterms:created>
  <dcterms:modified xsi:type="dcterms:W3CDTF">2025-03-06T00:50:02Z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