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24766f772b6af007a55fbc20bf0538884ced2f"/>
    <w:p>
      <w:pPr>
        <w:pStyle w:val="Heading3"/>
      </w:pPr>
      <w:r>
        <w:t xml:space="preserve">Заявительный порядок предоставления налоговых льгот по имущественным налогам организаций: транспортный и земельный налоги, налог на имущество российских организаций</w:t>
      </w:r>
    </w:p>
    <w:p>
      <w:pPr>
        <w:pStyle w:val="FirstParagraph"/>
      </w:pPr>
      <w:r>
        <w:t xml:space="preserve">02.02.2023</w:t>
      </w:r>
    </w:p>
    <w:p>
      <w:pPr>
        <w:pStyle w:val="BodyText"/>
      </w:pPr>
      <w:r>
        <w:drawing>
          <wp:inline>
            <wp:extent cx="5334000" cy="77038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b53/g3d4wbed1qon55w51zl02h3u9kmyy16f/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http://nizhegorodsky.mos.ru/information-on-taxes-and-taxation/detail/11382840.html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828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828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2025-03-06T00:30:00Z</dcterms:created>
  <dcterms:modified xsi:type="dcterms:W3CDTF">2025-03-06T00:30:00Z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