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ea997643a455a6639267879873ada7688b5f7"/>
    <w:p>
      <w:pPr>
        <w:pStyle w:val="Heading3"/>
      </w:pPr>
      <w:r>
        <w:t xml:space="preserve">С 2021 года отменена обязанность организаций по представлению в налоговые органы деклараций по транспортному и земельному налогам за 2020 год и последующие периоды</w:t>
      </w:r>
    </w:p>
    <w:p>
      <w:pPr>
        <w:pStyle w:val="FirstParagraph"/>
      </w:pPr>
      <w:r>
        <w:t xml:space="preserve">02.02.2021</w:t>
      </w:r>
    </w:p>
    <w:p>
      <w:pPr>
        <w:pStyle w:val="BodyText"/>
      </w:pPr>
      <w:r>
        <w:t xml:space="preserve">С 2021 года отменена обязанность организаций по представлению в налоговые органы деклараций по транспортному и земельному налогам за 2020 год и последующие периоды. Одновременно вводится порядок направления организациям и их обособленным подразделениям сообщений об исчисленных суммах указанных налогов.</w:t>
      </w:r>
    </w:p>
    <w:p>
      <w:pPr>
        <w:pStyle w:val="BodyText"/>
      </w:pPr>
      <w:r>
        <w:t xml:space="preserve">Организациям, которые имеют право на льготы по транспортному или земельному налогу,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 (КНД 1150064). Вместе с ним они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Поэтому заявление о представлении налоговой льготы за 2020 год организации целесообразно представить в течение I квартала 2021 года.</w:t>
      </w:r>
    </w:p>
    <w:p>
      <w:pPr>
        <w:pStyle w:val="BodyText"/>
      </w:pPr>
      <w:r>
        <w:t xml:space="preserve">Сообщение составляется на основе информации, имеющейся у налогового органа, в т.ч.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 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направляет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http://nizhegorodsky.mos.ru/information-on-taxes-and-taxation/detail/9683672.html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96836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96836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2024-08-21T05:15:05Z</dcterms:created>
  <dcterms:modified xsi:type="dcterms:W3CDTF">2024-08-21T05:15:05Z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