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bab23ba29b7f0329ab0c17b2303a14f35f5af"/>
    <w:p>
      <w:pPr>
        <w:pStyle w:val="Heading3"/>
      </w:pPr>
      <w:r>
        <w:t xml:space="preserve">Будущие дизайнеры с Рязанского проспекта подготовили онлайн-выставку детских работ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сайте Московского педагогического гуманитарного университета проходит онлайн-выставка детских творческих работ «Летний вернисаж», созданных в рамках профориентационных мероприятий Художественно-графического факультета Института изящных искусств. </w:t>
      </w:r>
    </w:p>
    <w:p>
      <w:pPr>
        <w:pStyle w:val="BodyText"/>
      </w:pPr>
      <w:r>
        <w:t xml:space="preserve">В этом году проведено более 50 мероприятий с общим охватом более 4000 детей. Из-за сложной эпидемобстановки, многие мероприятия пришлось проводить в дистанционном формате.</w:t>
      </w:r>
      <w:r>
        <w:br/>
      </w:r>
      <w:r>
        <w:t xml:space="preserve">В IV ежегодном конкурсе «World of young creators» поучаствовали более 100 участников со всей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http://nizhegorodsky.mos.ru/presscenter/news/detail/10091756.html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0091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10091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2025-05-11T14:30:04Z</dcterms:created>
  <dcterms:modified xsi:type="dcterms:W3CDTF">2025-05-11T14:30:04Z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