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b5be29cd4eaeee726ad8079be28b812772e49"/>
    <w:p>
      <w:pPr>
        <w:pStyle w:val="Heading3"/>
      </w:pPr>
      <w:r>
        <w:t xml:space="preserve">Выставка «Ход конем» открылась в Нижегородском</w:t>
      </w:r>
    </w:p>
    <w:p>
      <w:pPr>
        <w:pStyle w:val="FirstParagraph"/>
      </w:pPr>
      <w:r>
        <w:t xml:space="preserve">16.07.2021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Международный день шахмат в библиотеке 107 собрались любители данной интеллектуальной игры.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Библиотекари рассказали о том, кто из писателей был поклонником шахмат, в каких литературных произведениях рассказывается об этой игре, откуда к нам пришли шахматы.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Гости библиотеки узнали интересные истории и легенды о шахматах. </w:t>
      </w:r>
      <w:r>
        <w:t xml:space="preserve">Также посетителям рассказали о правилах игры и «Шахматном кодексе».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Гости с большим интересом сразились в шахтном турнире. Победила дружба!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библиотеке также представлена книжная выставка «Ход конëм»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http://nizhegorodsky.mos.ru/presscenter/news/detail/10110967.html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Нижегородского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esscenter/news/detail/10110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esscenter/news/detail/10110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2025-06-22T10:24:07Z</dcterms:created>
  <dcterms:modified xsi:type="dcterms:W3CDTF">2025-06-22T10:24:07Z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